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AlphaGo Capital — 数据可信性与零知识证明方案</w:t>
      </w:r>
    </w:p>
    <w:p>
      <w:r>
        <w:rPr>
          <w:i/>
        </w:rPr>
        <w:t>Zero-Knowledge Data Integrity Options for Fund Reporting</w:t>
      </w:r>
    </w:p>
    <w:p>
      <w:r>
        <w:rPr>
          <w:color w:val="666666"/>
        </w:rPr>
        <w:t>版本 v1.0 · 2026-10 · 内部技术方案（供机构尽调参考）</w:t>
      </w:r>
    </w:p>
    <w:p/>
    <w:p>
      <w:pPr>
        <w:pStyle w:val="Heading1"/>
      </w:pPr>
      <w:r>
        <w:rPr>
          <w:color w:val="1F3A5F"/>
        </w:rPr>
        <w:t>1. 背景与目标</w:t>
      </w:r>
    </w:p>
    <w:p>
      <w:r>
        <w:rPr>
          <w:b w:val="0"/>
        </w:rPr>
        <w:t>AlphaGo Capital 面向机构客户披露净值(NAV)、持仓与回测数据。传统披露方式要求客户“信任”管理人公布的数据；零知识证明(ZK)与密码学承诺的目标是：在不泄露持仓明细、交易流水等商业敏感信息的前提下，让客户可以独立验证我们公布的数据是真实、一致、未被篡改的。</w:t>
      </w:r>
    </w:p>
    <w:p>
      <w:r>
        <w:rPr>
          <w:b/>
        </w:rPr>
        <w:t>本方案回答三个核心问题：</w:t>
      </w:r>
    </w:p>
    <w:p>
      <w:pPr>
        <w:pStyle w:val="ListNumber"/>
      </w:pPr>
      <w:r>
        <w:t>数据未被篡改：公布的 NAV / 收益序列与底层成交记录一致，事后无法回改。</w:t>
      </w:r>
    </w:p>
    <w:p>
      <w:pPr>
        <w:pStyle w:val="ListNumber"/>
      </w:pPr>
      <w:r>
        <w:t>计算过程正确：净值由真实持仓与真实价格按声明规则计算得出，而非人工填写。</w:t>
      </w:r>
    </w:p>
    <w:p>
      <w:pPr>
        <w:pStyle w:val="ListNumber"/>
      </w:pPr>
      <w:r>
        <w:t>选择性披露：客户能验证特定断言(如“单票权重 ≤ 25%”“行业集中度 ≤ 70%”)，而无需看到具体持仓与交易对手信息。</w:t>
      </w:r>
    </w:p>
    <w:p>
      <w:r>
        <w:rPr>
          <w:b w:val="0"/>
        </w:rPr>
        <w:t>重要边界：ZK 证明解决的是“数据与计算的可信性”，并不证明策略质量或未来收益；数据源头(券商账单)的真实性仍需配合托管/审计渠道(见方案 B、E)。</w:t>
      </w:r>
    </w:p>
    <w:p>
      <w:pPr>
        <w:pStyle w:val="Heading1"/>
      </w:pPr>
      <w:r>
        <w:rPr>
          <w:color w:val="1F3A5F"/>
        </w:rPr>
        <w:t>2. 方案总览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方案</w:t>
            </w:r>
          </w:p>
        </w:tc>
        <w:tc>
          <w:tcPr>
            <w:tcW w:type="dxa" w:w="2160"/>
          </w:tcPr>
          <w:p>
            <w:r>
              <w:rPr>
                <w:b/>
              </w:rPr>
              <w:t>证明内容</w:t>
            </w:r>
          </w:p>
        </w:tc>
        <w:tc>
          <w:tcPr>
            <w:tcW w:type="dxa" w:w="2160"/>
          </w:tcPr>
          <w:p>
            <w:r>
              <w:rPr>
                <w:b/>
              </w:rPr>
              <w:t>成熟度 / 工作量</w:t>
            </w:r>
          </w:p>
        </w:tc>
        <w:tc>
          <w:tcPr>
            <w:tcW w:type="dxa" w:w="2160"/>
          </w:tcPr>
          <w:p>
            <w:r>
              <w:rPr>
                <w:b/>
              </w:rPr>
              <w:t>信任假设</w:t>
            </w:r>
          </w:p>
        </w:tc>
      </w:tr>
      <w:tr>
        <w:tc>
          <w:tcPr>
            <w:tcW w:type="dxa" w:w="2160"/>
          </w:tcPr>
          <w:p>
            <w:r>
              <w:t>A. Merkle 承诺 + 公开时间戳</w:t>
            </w:r>
          </w:p>
        </w:tc>
        <w:tc>
          <w:tcPr>
            <w:tcW w:type="dxa" w:w="2160"/>
          </w:tcPr>
          <w:p>
            <w:r>
              <w:t>NAV/持仓快照存在性、顺序与不可篡改性</w:t>
            </w:r>
          </w:p>
        </w:tc>
        <w:tc>
          <w:tcPr>
            <w:tcW w:type="dxa" w:w="2160"/>
          </w:tcPr>
          <w:p>
            <w:r>
              <w:t>成熟 · 1–2 周</w:t>
            </w:r>
          </w:p>
        </w:tc>
        <w:tc>
          <w:tcPr>
            <w:tcW w:type="dxa" w:w="2160"/>
          </w:tcPr>
          <w:p>
            <w:r>
              <w:t>信任密码学哈希与时间戳锚(比特币/透明日志)</w:t>
            </w:r>
          </w:p>
        </w:tc>
      </w:tr>
      <w:tr>
        <w:tc>
          <w:tcPr>
            <w:tcW w:type="dxa" w:w="2160"/>
          </w:tcPr>
          <w:p>
            <w:r>
              <w:t>B. zkTLS 数据源证明</w:t>
            </w:r>
          </w:p>
        </w:tc>
        <w:tc>
          <w:tcPr>
            <w:tcW w:type="dxa" w:w="2160"/>
          </w:tcPr>
          <w:p>
            <w:r>
              <w:t>数据确实来自 IBKR/托管行 API 的原始响应</w:t>
            </w:r>
          </w:p>
        </w:tc>
        <w:tc>
          <w:tcPr>
            <w:tcW w:type="dxa" w:w="2160"/>
          </w:tcPr>
          <w:p>
            <w:r>
              <w:t>较成熟(TLSNotary/DECO)· 4–6 周</w:t>
            </w:r>
          </w:p>
        </w:tc>
        <w:tc>
          <w:tcPr>
            <w:tcW w:type="dxa" w:w="2160"/>
          </w:tcPr>
          <w:p>
            <w:r>
              <w:t>信任公证人网络或 MPC 参与方</w:t>
            </w:r>
          </w:p>
        </w:tc>
      </w:tr>
      <w:tr>
        <w:tc>
          <w:tcPr>
            <w:tcW w:type="dxa" w:w="2160"/>
          </w:tcPr>
          <w:p>
            <w:r>
              <w:t>C. zkSNARK 计算完整性</w:t>
            </w:r>
          </w:p>
        </w:tc>
        <w:tc>
          <w:tcPr>
            <w:tcW w:type="dxa" w:w="2160"/>
          </w:tcPr>
          <w:p>
            <w:r>
              <w:t>NAV 由承诺的交易/持仓按规则正确计算</w:t>
            </w:r>
          </w:p>
        </w:tc>
        <w:tc>
          <w:tcPr>
            <w:tcW w:type="dxa" w:w="2160"/>
          </w:tcPr>
          <w:p>
            <w:r>
              <w:t>工程量大 · 2–3 个月</w:t>
            </w:r>
          </w:p>
        </w:tc>
        <w:tc>
          <w:tcPr>
            <w:tcW w:type="dxa" w:w="2160"/>
          </w:tcPr>
          <w:p>
            <w:r>
              <w:t>信任电路实现与 trusted setup(Groth16)</w:t>
            </w:r>
          </w:p>
        </w:tc>
      </w:tr>
      <w:tr>
        <w:tc>
          <w:tcPr>
            <w:tcW w:type="dxa" w:w="2160"/>
          </w:tcPr>
          <w:p>
            <w:r>
              <w:t>D. Pedersen 承诺 + 区间证明</w:t>
            </w:r>
          </w:p>
        </w:tc>
        <w:tc>
          <w:tcPr>
            <w:tcW w:type="dxa" w:w="2160"/>
          </w:tcPr>
          <w:p>
            <w:r>
              <w:t>权重上限、集中度、现金非负等约束成立</w:t>
            </w:r>
          </w:p>
        </w:tc>
        <w:tc>
          <w:tcPr>
            <w:tcW w:type="dxa" w:w="2160"/>
          </w:tcPr>
          <w:p>
            <w:r>
              <w:t>成熟(Bulletproofs)· 3–4 周</w:t>
            </w:r>
          </w:p>
        </w:tc>
        <w:tc>
          <w:tcPr>
            <w:tcW w:type="dxa" w:w="2160"/>
          </w:tcPr>
          <w:p>
            <w:r>
              <w:t>信任承诺方案;无需可信设置</w:t>
            </w:r>
          </w:p>
        </w:tc>
      </w:tr>
      <w:tr>
        <w:tc>
          <w:tcPr>
            <w:tcW w:type="dxa" w:w="2160"/>
          </w:tcPr>
          <w:p>
            <w:r>
              <w:t>E. 签名披露 + 第三方审计</w:t>
            </w:r>
          </w:p>
        </w:tc>
        <w:tc>
          <w:tcPr>
            <w:tcW w:type="dxa" w:w="2160"/>
          </w:tcPr>
          <w:p>
            <w:r>
              <w:t>每日 NAV 经 Ed25519 签名,审计师联签</w:t>
            </w:r>
          </w:p>
        </w:tc>
        <w:tc>
          <w:tcPr>
            <w:tcW w:type="dxa" w:w="2160"/>
          </w:tcPr>
          <w:p>
            <w:r>
              <w:t>最成熟 · 1 周</w:t>
            </w:r>
          </w:p>
        </w:tc>
        <w:tc>
          <w:tcPr>
            <w:tcW w:type="dxa" w:w="2160"/>
          </w:tcPr>
          <w:p>
            <w:r>
              <w:t>信任签名密钥管理与审计师</w:t>
            </w:r>
          </w:p>
        </w:tc>
      </w:tr>
    </w:tbl>
    <w:p>
      <w:r>
        <w:rPr>
          <w:b w:val="0"/>
        </w:rPr>
      </w:r>
    </w:p>
    <w:p>
      <w:r>
        <w:rPr>
          <w:b/>
        </w:rPr>
        <w:t>推荐组合:A + E 为第一期(本季度可交付),B + D 为第二期,C 为长期研究项。</w:t>
      </w:r>
    </w:p>
    <w:p>
      <w:pPr>
        <w:pStyle w:val="Heading2"/>
      </w:pPr>
      <w:r>
        <w:rPr>
          <w:color w:val="1F3A5F"/>
        </w:rPr>
        <w:t>3. 方案 A:Merkle 承诺链 + 公开时间戳(推荐第一期)</w:t>
      </w:r>
    </w:p>
    <w:p>
      <w:r>
        <w:rPr>
          <w:b w:val="0"/>
        </w:rPr>
        <w:t>原理:每日将 NAV、持仓快照哈希、成交笔数等字段序列化后计算 SHA-256,作为叶子节点构建 Merkle 树;树根(Root Hash)每日发布,并通过 OpenTimestamps 锚定到比特币区块链(或公共透明日志如 Sigsum)。此后任何一天的数值都无法在不破坏树根的情况下被修改。</w:t>
      </w:r>
    </w:p>
    <w:p>
      <w:r>
        <w:rPr>
          <w:b w:val="0"/>
        </w:rPr>
        <w:t>数据格式建议(每交易日一条 JSON):</w:t>
      </w:r>
    </w:p>
    <w:p>
      <w:r>
        <w:rPr>
          <w:b w:val="0"/>
        </w:rPr>
        <w:t>{ "date": "2026-10-06", "nav": 981799.89, "cash": 254599.61, "positions_root": "0x…", "fills_root": "0x…", "prev_root": "0x…" }</w:t>
      </w:r>
    </w:p>
    <w:p>
      <w:r>
        <w:rPr>
          <w:b w:val="0"/>
        </w:rPr>
        <w:t>验证流程(客户侧,无需信任我们):</w:t>
      </w:r>
    </w:p>
    <w:p>
      <w:pPr>
        <w:pStyle w:val="ListNumber"/>
      </w:pPr>
      <w:r>
        <w:t>从网站下载每日承诺值与 Merkle 路径(proof)。</w:t>
      </w:r>
    </w:p>
    <w:p>
      <w:pPr>
        <w:pStyle w:val="ListNumber"/>
      </w:pPr>
      <w:r>
        <w:t>本地重算 SHA-256,逐级哈希验证至当日 Root。</w:t>
      </w:r>
    </w:p>
    <w:p>
      <w:pPr>
        <w:pStyle w:val="ListNumber"/>
      </w:pPr>
      <w:r>
        <w:t>将 Root 与比特币链上 OpenTimestamps 证明比对 —— 证明该 Root 在某时点前已存在。</w:t>
      </w:r>
    </w:p>
    <w:p>
      <w:pPr>
        <w:pStyle w:val="ListNumber"/>
      </w:pPr>
      <w:r>
        <w:t>逐日链接 prev_root 形成哈希链,证明序列无插入/删除/回改。</w:t>
      </w:r>
    </w:p>
    <w:p>
      <w:r>
        <w:rPr>
          <w:b w:val="0"/>
        </w:rPr>
        <w:t>工具栈:Python hashlib / pyca cryptography;opentimestamps-client;可选 IPFS/Arweave 存放证明文件。网站侧仅需在每日 sync 后追加一步哈希与提交。</w:t>
      </w:r>
    </w:p>
    <w:p>
      <w:pPr>
        <w:pStyle w:val="Heading2"/>
      </w:pPr>
      <w:r>
        <w:rPr>
          <w:color w:val="1F3A5F"/>
        </w:rPr>
        <w:t>4. 方案 B:zkTLS 数据源证明</w:t>
      </w:r>
    </w:p>
    <w:p>
      <w:r>
        <w:rPr>
          <w:b w:val="0"/>
        </w:rPr>
        <w:t>原理:借助 TLSNotary、DECO 或 Reclaim 类 zkTLS 协议,在不向第三方暴露账户凭证的前提下,证明“这段数据确实来自 ibkr.com / 托管行 API 的 TLS 会话响应”。客户拿到的是对券商原始数据的密码学证明,而非我们的自述。</w:t>
      </w:r>
    </w:p>
    <w:p>
      <w:r>
        <w:rPr>
          <w:b w:val="0"/>
        </w:rPr>
        <w:t>应用场景:</w:t>
      </w:r>
    </w:p>
    <w:p>
      <w:pPr>
        <w:pStyle w:val="ListBullet"/>
      </w:pPr>
      <w:r>
        <w:t>IBKR Flex 查询/账户摘要 → 生成 zkTLS 证明,客户验证 NAV 与持仓来自券商返回的原始报文。</w:t>
      </w:r>
    </w:p>
    <w:p>
      <w:pPr>
        <w:pStyle w:val="ListBullet"/>
      </w:pPr>
      <w:r>
        <w:t>月度对账单 PDF 的哈希与 zkTLS 会话绑定,防止对账单被替换。</w:t>
      </w:r>
    </w:p>
    <w:p>
      <w:r>
        <w:rPr>
          <w:b w:val="0"/>
        </w:rPr>
        <w:t>注意:zkTLS 需要公证人(notary)或 MPC 参与方,公证人可以是我们 + 客户共同认可的第三方节点;技术栈以 Rust/JS 为主(TLSNotary)或 Solidity 验证合约(DECO)。</w:t>
      </w:r>
    </w:p>
    <w:p>
      <w:pPr>
        <w:pStyle w:val="Heading2"/>
      </w:pPr>
      <w:r>
        <w:rPr>
          <w:color w:val="1F3A5F"/>
        </w:rPr>
        <w:t>5. 方案 C:zkSNARK 计算完整性证明</w:t>
      </w:r>
    </w:p>
    <w:p>
      <w:r>
        <w:rPr>
          <w:b w:val="0"/>
        </w:rPr>
        <w:t>原理:将“NAV 计算规则”写成算术电路(circuit):输入为已承诺的成交流水、持仓快照与价格源,输出为 NAV。生成 Groth16/PLONK 证明后,任何人可用公开验证密钥验证“NAV 确实是按规则从这批底层数据算出的”,而无需看到逐笔成交。</w:t>
      </w:r>
    </w:p>
    <w:p>
      <w:r>
        <w:rPr>
          <w:b w:val="0"/>
        </w:rPr>
        <w:t>电路要素:</w:t>
      </w:r>
    </w:p>
    <w:p>
      <w:pPr>
        <w:pStyle w:val="ListBullet"/>
      </w:pPr>
      <w:r>
        <w:t>输入承诺:fill 明细的 Merkle root、持仓 root、价格 root(公开输入)。</w:t>
      </w:r>
    </w:p>
    <w:p>
      <w:pPr>
        <w:pStyle w:val="ListBullet"/>
      </w:pPr>
      <w:r>
        <w:t>约束:市值 = Σ qty·price;现金 = 期初现金 + Σ 成交现金流 − 佣金;NAV = 现金 + Σ 市值。</w:t>
      </w:r>
    </w:p>
    <w:p>
      <w:pPr>
        <w:pStyle w:val="ListBullet"/>
      </w:pPr>
      <w:r>
        <w:t>输出:NAV 标量 + 校验通过。</w:t>
      </w:r>
    </w:p>
    <w:p>
      <w:r>
        <w:rPr>
          <w:b w:val="0"/>
        </w:rPr>
        <w:t>工具栈:Circom + snarkjs(Groth16,需一次性 trusted setup,可用 Hermez 公共 ceremony 或自行举办多方仪式);或 ZoKrates / gnark(Go)/ Halo2(无需 trusted setup)。前端验证可用 snarkjs 生成的 verifier 合约或 wasm 离线验证器。</w:t>
      </w:r>
    </w:p>
    <w:p>
      <w:r>
        <w:rPr>
          <w:b w:val="0"/>
        </w:rPr>
        <w:t>工作量提示:这是五个方案中工程量最大的,建议先以“月度 NAV 一致性”为小电路原型,再扩展到逐笔成交核对。</w:t>
      </w:r>
    </w:p>
    <w:p>
      <w:pPr>
        <w:pStyle w:val="Heading2"/>
      </w:pPr>
      <w:r>
        <w:rPr>
          <w:color w:val="1F3A5F"/>
        </w:rPr>
        <w:t>6. 方案 D:Pedersen 承诺 + 区间证明</w:t>
      </w:r>
    </w:p>
    <w:p>
      <w:r>
        <w:rPr>
          <w:b w:val="0"/>
        </w:rPr>
        <w:t>原理:对每个持仓数量/权重做 Pedersen 承诺(隐藏数值,保留可加性),再附带 Bulletproofs 区间证明,向客户证明:</w:t>
      </w:r>
    </w:p>
    <w:p>
      <w:pPr>
        <w:pStyle w:val="ListBullet"/>
      </w:pPr>
      <w:r>
        <w:t>“任一单票权重 wᵢ 满足 0 ≤ wᵢ ≤ 25%” —— 不揭示 wᵢ 的具体值与票名。</w:t>
      </w:r>
    </w:p>
    <w:p>
      <w:pPr>
        <w:pStyle w:val="ListBullet"/>
      </w:pPr>
      <w:r>
        <w:t>“半导体+硬件行业权重和 ≤ 70%” —— 不揭示各行业明细。</w:t>
      </w:r>
    </w:p>
    <w:p>
      <w:pPr>
        <w:pStyle w:val="ListBullet"/>
      </w:pPr>
      <w:r>
        <w:t>“现金占比 ≥ 0 且 ≤ 100%”,“Σ 持仓权重 + 现金 = 100%”(可加同态直接验证)。</w:t>
      </w:r>
    </w:p>
    <w:p>
      <w:r>
        <w:rPr>
          <w:b w:val="0"/>
        </w:rPr>
        <w:t>优点:无需可信设置,证明短(对数级),验证快;库成熟(dalek-bulletproofs / curv / bulletproofs 的 Python 绑定)。该方案天然适配“有持仓约束但不想公开持仓”的基金披露场景。</w:t>
      </w:r>
    </w:p>
    <w:p>
      <w:pPr>
        <w:pStyle w:val="Heading2"/>
      </w:pPr>
      <w:r>
        <w:rPr>
          <w:color w:val="1F3A5F"/>
        </w:rPr>
        <w:t>7. 方案 E:签名披露 + 第三方审计(最快落地)</w:t>
      </w:r>
    </w:p>
    <w:p>
      <w:r>
        <w:rPr>
          <w:b w:val="0"/>
        </w:rPr>
        <w:t>每日 NAV 由管理人 Ed25519 私钥签名发布(签名内容 = 方案 A 的 JSON 承诺)。客户可随时用公钥验证数据出自 AlphaGo 且未被改动。进一步引入独立第三方(审计师/托管人/技术公证方)对每周/月根哈希联签,形成多人见证。</w:t>
      </w:r>
    </w:p>
    <w:p>
      <w:r>
        <w:rPr>
          <w:b w:val="0"/>
        </w:rPr>
        <w:t>实施要点:</w:t>
      </w:r>
    </w:p>
    <w:p>
      <w:pPr>
        <w:pStyle w:val="ListBullet"/>
      </w:pPr>
      <w:r>
        <w:t>私钥离线保存(YubiKey/HSM);公钥在网站 methodology 页长期公示并附指纹。</w:t>
      </w:r>
    </w:p>
    <w:p>
      <w:pPr>
        <w:pStyle w:val="ListBullet"/>
      </w:pPr>
      <w:r>
        <w:t>签名 + Merkle root 一同上链(OpenTimestamps),同时满足不可否认性与时间戳。</w:t>
      </w:r>
    </w:p>
    <w:p>
      <w:pPr>
        <w:pStyle w:val="ListBullet"/>
      </w:pPr>
      <w:r>
        <w:t>这是所有方案中唯一能直接回答“谁为该数据负责”的手段 —— 法律意义大于密码学意义。</w:t>
      </w:r>
    </w:p>
    <w:p>
      <w:pPr>
        <w:pStyle w:val="Heading1"/>
      </w:pPr>
      <w:r>
        <w:rPr>
          <w:color w:val="1F3A5F"/>
        </w:rPr>
        <w:t>8. 推荐路线图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阶段</w:t>
            </w:r>
          </w:p>
        </w:tc>
        <w:tc>
          <w:tcPr>
            <w:tcW w:type="dxa" w:w="2160"/>
          </w:tcPr>
          <w:p>
            <w:r>
              <w:rPr>
                <w:b/>
              </w:rPr>
              <w:t>内容</w:t>
            </w:r>
          </w:p>
        </w:tc>
        <w:tc>
          <w:tcPr>
            <w:tcW w:type="dxa" w:w="2160"/>
          </w:tcPr>
          <w:p>
            <w:r>
              <w:rPr>
                <w:b/>
              </w:rPr>
              <w:t>周期</w:t>
            </w:r>
          </w:p>
        </w:tc>
        <w:tc>
          <w:tcPr>
            <w:tcW w:type="dxa" w:w="2160"/>
          </w:tcPr>
          <w:p>
            <w:r>
              <w:rPr>
                <w:b/>
              </w:rPr>
              <w:t>交付物</w:t>
            </w:r>
          </w:p>
        </w:tc>
      </w:tr>
      <w:tr>
        <w:tc>
          <w:tcPr>
            <w:tcW w:type="dxa" w:w="2160"/>
          </w:tcPr>
          <w:p>
            <w:r>
              <w:t>第一期</w:t>
            </w:r>
          </w:p>
        </w:tc>
        <w:tc>
          <w:tcPr>
            <w:tcW w:type="dxa" w:w="2160"/>
          </w:tcPr>
          <w:p>
            <w:r>
              <w:t>方案 A + E:每日 NAV JSON 承诺、Ed25519 签名、OpenTimestamps 上链;网站提供验证脚本</w:t>
            </w:r>
          </w:p>
        </w:tc>
        <w:tc>
          <w:tcPr>
            <w:tcW w:type="dxa" w:w="2160"/>
          </w:tcPr>
          <w:p>
            <w:r>
              <w:t>2–3 周</w:t>
            </w:r>
          </w:p>
        </w:tc>
        <w:tc>
          <w:tcPr>
            <w:tcW w:type="dxa" w:w="2160"/>
          </w:tcPr>
          <w:p>
            <w:r>
              <w:t>verify.py 开源验证脚本 + 公开公钥 + 链上锚</w:t>
            </w:r>
          </w:p>
        </w:tc>
      </w:tr>
      <w:tr>
        <w:tc>
          <w:tcPr>
            <w:tcW w:type="dxa" w:w="2160"/>
          </w:tcPr>
          <w:p>
            <w:r>
              <w:t>第二期</w:t>
            </w:r>
          </w:p>
        </w:tc>
        <w:tc>
          <w:tcPr>
            <w:tcW w:type="dxa" w:w="2160"/>
          </w:tcPr>
          <w:p>
            <w:r>
              <w:t>方案 B + D:IBKR Flex 数据 zkTLS 证明;持仓约束区间证明(25% 上限 / 行业集中度)</w:t>
            </w:r>
          </w:p>
        </w:tc>
        <w:tc>
          <w:tcPr>
            <w:tcW w:type="dxa" w:w="2160"/>
          </w:tcPr>
          <w:p>
            <w:r>
              <w:t>1–2 个月</w:t>
            </w:r>
          </w:p>
        </w:tc>
        <w:tc>
          <w:tcPr>
            <w:tcW w:type="dxa" w:w="2160"/>
          </w:tcPr>
          <w:p>
            <w:r>
              <w:t>zkTLS 证明文件 + Bulletproofs 验证器</w:t>
            </w:r>
          </w:p>
        </w:tc>
      </w:tr>
      <w:tr>
        <w:tc>
          <w:tcPr>
            <w:tcW w:type="dxa" w:w="2160"/>
          </w:tcPr>
          <w:p>
            <w:r>
              <w:t>第三期</w:t>
            </w:r>
          </w:p>
        </w:tc>
        <w:tc>
          <w:tcPr>
            <w:tcW w:type="dxa" w:w="2160"/>
          </w:tcPr>
          <w:p>
            <w:r>
              <w:t>方案 C:NAV 计算完整性 zkSNARK;先月度一致性原型,再扩展逐笔成交</w:t>
            </w:r>
          </w:p>
        </w:tc>
        <w:tc>
          <w:tcPr>
            <w:tcW w:type="dxa" w:w="2160"/>
          </w:tcPr>
          <w:p>
            <w:r>
              <w:t>2–3 个月(R&amp;D)</w:t>
            </w:r>
          </w:p>
        </w:tc>
        <w:tc>
          <w:tcPr>
            <w:tcW w:type="dxa" w:w="2160"/>
          </w:tcPr>
          <w:p>
            <w:r>
              <w:t>电路源码 + verifier + ceremony 记录</w:t>
            </w:r>
          </w:p>
        </w:tc>
      </w:tr>
    </w:tbl>
    <w:p>
      <w:pPr>
        <w:pStyle w:val="Heading1"/>
      </w:pPr>
      <w:r>
        <w:rPr>
          <w:color w:val="1F3A5F"/>
        </w:rPr>
        <w:t>9. 第一期实施指引(可直接执行)</w:t>
      </w:r>
    </w:p>
    <w:p>
      <w:pPr>
        <w:pStyle w:val="ListNumber"/>
      </w:pPr>
      <w:r>
        <w:t>定义承诺 JSON Schema(见 §3),版本化存 docs/。</w:t>
      </w:r>
    </w:p>
    <w:p>
      <w:pPr>
        <w:pStyle w:val="ListNumber"/>
      </w:pPr>
      <w:r>
        <w:t>sync.py 每日运行后:序列化 → SHA-256 → 追加至 commitments.csv → 更新当日 Merkle root → Ed25519 签名 → ots stamp 上链。</w:t>
      </w:r>
    </w:p>
    <w:p>
      <w:pPr>
        <w:pStyle w:val="ListNumber"/>
      </w:pPr>
      <w:r>
        <w:t>网站新增 /api/commitments 公开只读端点,返回全部承诺与签名(公开数据,无需登录)。</w:t>
      </w:r>
    </w:p>
    <w:p>
      <w:pPr>
        <w:pStyle w:val="ListNumber"/>
      </w:pPr>
      <w:r>
        <w:t>发布 verify.py:输入日期 → 自动下载承诺、验证 Merkle 路径、校验签名、查询链上时间戳。</w:t>
      </w:r>
    </w:p>
    <w:p>
      <w:pPr>
        <w:pStyle w:val="ListNumber"/>
      </w:pPr>
      <w:r>
        <w:t>在 methodology 页公示公钥指纹与验证指引 —— 这本身就是对机构客户的强信任信号。</w:t>
      </w:r>
    </w:p>
    <w:p>
      <w:r>
        <w:rPr>
          <w:b w:val="0"/>
        </w:rPr>
        <w:t>依赖:pyca/cryptography(签名)、opentimestamps-client(上链)。总代码量约 200 行。</w:t>
      </w:r>
    </w:p>
    <w:p>
      <w:pPr>
        <w:pStyle w:val="Heading1"/>
      </w:pPr>
      <w:r>
        <w:rPr>
          <w:color w:val="1F3A5F"/>
        </w:rPr>
        <w:t>10. 局限与免责声明</w:t>
      </w:r>
    </w:p>
    <w:p>
      <w:pPr>
        <w:pStyle w:val="ListBullet"/>
      </w:pPr>
      <w:r>
        <w:t>ZK 证明保证“数据一致性与计算正确性”,不保证底层数据源(券商)无错 —— 需配合托管函证。</w:t>
      </w:r>
    </w:p>
    <w:p>
      <w:pPr>
        <w:pStyle w:val="ListBullet"/>
      </w:pPr>
      <w:r>
        <w:t>证明系统实现缺陷是主要风险;第一期仅使用被广泛审计的原语(SHA-256 / Ed25519 / OpenTimestamps)。</w:t>
      </w:r>
    </w:p>
    <w:p>
      <w:pPr>
        <w:pStyle w:val="ListBullet"/>
      </w:pPr>
      <w:r>
        <w:t>本文件为技术方案,非法律或合规意见;正式基金发行前应由律师审阅披露口径。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